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E4085">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Module F: Decision-Making Tools</w:t>
      </w:r>
    </w:p>
    <w:p w:rsidR="00000000" w:rsidRDefault="000E4085">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0E4085">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Mitchell’s Air Operations offers maintenance and repair services for business jets located in Los Angeles. They are considering whether they should expand their </w:t>
      </w:r>
      <w:r>
        <w:rPr>
          <w:rFonts w:ascii="Arial" w:hAnsi="Arial" w:cs="Arial"/>
          <w:color w:val="000000"/>
          <w:sz w:val="24"/>
          <w:szCs w:val="24"/>
        </w:rPr>
        <w:t>operations. Mitchell has decided that they have a number of options—four to be precise. They can keep their current facilities; they can modify their facilities to make them more efficient; they can expand their current facility; or they can rent additiona</w:t>
      </w:r>
      <w:r>
        <w:rPr>
          <w:rFonts w:ascii="Arial" w:hAnsi="Arial" w:cs="Arial"/>
          <w:color w:val="000000"/>
          <w:sz w:val="24"/>
          <w:szCs w:val="24"/>
        </w:rPr>
        <w:t>l space. The decision as to which option they should select is predicated upon the estimation of the direction of the economy for the next four years. Mitchell’s Air Operations developed the following decision matrix.</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00"/>
        <w:gridCol w:w="1760"/>
        <w:gridCol w:w="1620"/>
        <w:gridCol w:w="1710"/>
      </w:tblGrid>
      <w:tr w:rsidR="00000000">
        <w:tblPrEx>
          <w:tblCellMar>
            <w:top w:w="0" w:type="dxa"/>
            <w:bottom w:w="0" w:type="dxa"/>
          </w:tblCellMar>
        </w:tblPrEx>
        <w:trPr>
          <w:trHeight w:val="255"/>
          <w:jc w:val="center"/>
        </w:trPr>
        <w:tc>
          <w:tcPr>
            <w:tcW w:w="170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c>
        <w:tc>
          <w:tcPr>
            <w:tcW w:w="5090" w:type="dxa"/>
            <w:gridSpan w:val="3"/>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b/>
                <w:bCs/>
                <w:color w:val="FFFFFF"/>
                <w:sz w:val="24"/>
                <w:szCs w:val="24"/>
              </w:rPr>
              <w:t>Future Air Traffic</w:t>
            </w:r>
          </w:p>
        </w:tc>
      </w:tr>
      <w:tr w:rsidR="00000000">
        <w:tblPrEx>
          <w:tblCellMar>
            <w:top w:w="0" w:type="dxa"/>
            <w:bottom w:w="0" w:type="dxa"/>
          </w:tblCellMar>
        </w:tblPrEx>
        <w:trPr>
          <w:trHeight w:val="255"/>
          <w:jc w:val="center"/>
        </w:trPr>
        <w:tc>
          <w:tcPr>
            <w:tcW w:w="170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p>
        </w:tc>
        <w:tc>
          <w:tcPr>
            <w:tcW w:w="176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Down</w:t>
            </w:r>
          </w:p>
        </w:tc>
        <w:tc>
          <w:tcPr>
            <w:tcW w:w="162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Same</w:t>
            </w:r>
          </w:p>
        </w:tc>
        <w:tc>
          <w:tcPr>
            <w:tcW w:w="171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Up</w:t>
            </w:r>
          </w:p>
        </w:tc>
      </w:tr>
      <w:tr w:rsidR="00000000">
        <w:tblPrEx>
          <w:tblCellMar>
            <w:top w:w="0" w:type="dxa"/>
            <w:bottom w:w="0" w:type="dxa"/>
          </w:tblCellMar>
        </w:tblPrEx>
        <w:trPr>
          <w:trHeight w:val="255"/>
          <w:jc w:val="center"/>
        </w:trPr>
        <w:tc>
          <w:tcPr>
            <w:tcW w:w="17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Keep As Is</w:t>
            </w:r>
          </w:p>
        </w:tc>
        <w:tc>
          <w:tcPr>
            <w:tcW w:w="176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(40,000)</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70,000 </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100,000 </w:t>
            </w:r>
          </w:p>
        </w:tc>
      </w:tr>
      <w:tr w:rsidR="00000000">
        <w:tblPrEx>
          <w:tblCellMar>
            <w:top w:w="0" w:type="dxa"/>
            <w:bottom w:w="0" w:type="dxa"/>
          </w:tblCellMar>
        </w:tblPrEx>
        <w:trPr>
          <w:trHeight w:val="255"/>
          <w:jc w:val="center"/>
        </w:trPr>
        <w:tc>
          <w:tcPr>
            <w:tcW w:w="17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Remodel</w:t>
            </w:r>
          </w:p>
        </w:tc>
        <w:tc>
          <w:tcPr>
            <w:tcW w:w="17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(60,000)</w:t>
            </w:r>
          </w:p>
        </w:tc>
        <w:tc>
          <w:tcPr>
            <w:tcW w:w="162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65,000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200,000 </w:t>
            </w:r>
          </w:p>
        </w:tc>
      </w:tr>
      <w:tr w:rsidR="00000000">
        <w:tblPrEx>
          <w:tblCellMar>
            <w:top w:w="0" w:type="dxa"/>
            <w:bottom w:w="0" w:type="dxa"/>
          </w:tblCellMar>
        </w:tblPrEx>
        <w:trPr>
          <w:trHeight w:val="255"/>
          <w:jc w:val="center"/>
        </w:trPr>
        <w:tc>
          <w:tcPr>
            <w:tcW w:w="17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Expansion</w:t>
            </w:r>
          </w:p>
        </w:tc>
        <w:tc>
          <w:tcPr>
            <w:tcW w:w="17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(150,000)</w:t>
            </w:r>
          </w:p>
        </w:tc>
        <w:tc>
          <w:tcPr>
            <w:tcW w:w="162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50,000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400,000 </w:t>
            </w:r>
          </w:p>
        </w:tc>
      </w:tr>
      <w:tr w:rsidR="00000000">
        <w:tblPrEx>
          <w:tblCellMar>
            <w:top w:w="0" w:type="dxa"/>
            <w:bottom w:w="0" w:type="dxa"/>
          </w:tblCellMar>
        </w:tblPrEx>
        <w:trPr>
          <w:trHeight w:val="255"/>
          <w:jc w:val="center"/>
        </w:trPr>
        <w:tc>
          <w:tcPr>
            <w:tcW w:w="17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Rent</w:t>
            </w:r>
          </w:p>
        </w:tc>
        <w:tc>
          <w:tcPr>
            <w:tcW w:w="17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(50,000)</w:t>
            </w:r>
          </w:p>
        </w:tc>
        <w:tc>
          <w:tcPr>
            <w:tcW w:w="162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60,000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80,000 </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option should Mitchell’s Air Operations make based on Maximax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option should Mitchell’s Air Operations make based on Maximin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option should Mitchell’s Air Operations make based on Laplace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w:t>
      </w:r>
      <w:r>
        <w:rPr>
          <w:rFonts w:ascii="Times New Roman" w:hAnsi="Times New Roman" w:cs="Times New Roman"/>
          <w:color w:val="000000"/>
        </w:rPr>
        <w:tab/>
      </w:r>
      <w:r>
        <w:rPr>
          <w:rFonts w:ascii="Arial" w:hAnsi="Arial" w:cs="Arial"/>
          <w:color w:val="000000"/>
          <w:sz w:val="24"/>
          <w:szCs w:val="24"/>
        </w:rPr>
        <w:t>What option should Mitchell’</w:t>
      </w:r>
      <w:r>
        <w:rPr>
          <w:rFonts w:ascii="Arial" w:hAnsi="Arial" w:cs="Arial"/>
          <w:color w:val="000000"/>
          <w:sz w:val="24"/>
          <w:szCs w:val="24"/>
        </w:rPr>
        <w:t>s Air Operations make based on Hurwicz criterion with an alpha = .4?</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option should Mitchell’s Air Operations make based on Hurwicz criterion with an alpha = .6?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option should Mitchell’s Air Operations make based on Hurwicz criterion with an alpha =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option should Mitchell’s Air Operations make based on Minimax Regret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Mitchell’s Air Operations has hired two economic consultants to provide insights</w:t>
      </w:r>
      <w:r>
        <w:rPr>
          <w:rFonts w:ascii="Arial" w:hAnsi="Arial" w:cs="Arial"/>
          <w:color w:val="000000"/>
          <w:sz w:val="24"/>
          <w:szCs w:val="24"/>
        </w:rPr>
        <w:t xml:space="preserve"> as to the likelihood of the future states of the economy. The first economist estimates that there is a 20% chance that the economy will trend </w:t>
      </w:r>
      <w:r>
        <w:rPr>
          <w:rFonts w:ascii="Arial" w:hAnsi="Arial" w:cs="Arial"/>
          <w:i/>
          <w:iCs/>
          <w:color w:val="000000"/>
          <w:sz w:val="24"/>
          <w:szCs w:val="24"/>
        </w:rPr>
        <w:t>Down</w:t>
      </w:r>
      <w:r>
        <w:rPr>
          <w:rFonts w:ascii="Arial" w:hAnsi="Arial" w:cs="Arial"/>
          <w:color w:val="000000"/>
          <w:sz w:val="24"/>
          <w:szCs w:val="24"/>
        </w:rPr>
        <w:t xml:space="preserve">, a 50% chance that the economy will stay the </w:t>
      </w:r>
      <w:r>
        <w:rPr>
          <w:rFonts w:ascii="Arial" w:hAnsi="Arial" w:cs="Arial"/>
          <w:i/>
          <w:iCs/>
          <w:color w:val="000000"/>
          <w:sz w:val="24"/>
          <w:szCs w:val="24"/>
        </w:rPr>
        <w:t>Same</w:t>
      </w:r>
      <w:r>
        <w:rPr>
          <w:rFonts w:ascii="Arial" w:hAnsi="Arial" w:cs="Arial"/>
          <w:color w:val="000000"/>
          <w:sz w:val="24"/>
          <w:szCs w:val="24"/>
        </w:rPr>
        <w:t xml:space="preserve">, and a 30% chance that the economy will trend </w:t>
      </w:r>
      <w:r>
        <w:rPr>
          <w:rFonts w:ascii="Arial" w:hAnsi="Arial" w:cs="Arial"/>
          <w:i/>
          <w:iCs/>
          <w:color w:val="000000"/>
          <w:sz w:val="24"/>
          <w:szCs w:val="24"/>
        </w:rPr>
        <w:t>Up</w:t>
      </w:r>
      <w:r>
        <w:rPr>
          <w:rFonts w:ascii="Arial" w:hAnsi="Arial" w:cs="Arial"/>
          <w:color w:val="000000"/>
          <w:sz w:val="24"/>
          <w:szCs w:val="24"/>
        </w:rPr>
        <w:t>. What option should Mitchell’s Air Operations make based on this first economist’s estimates?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9.</w:t>
      </w:r>
      <w:r>
        <w:rPr>
          <w:rFonts w:ascii="Times New Roman" w:hAnsi="Times New Roman" w:cs="Times New Roman"/>
          <w:color w:val="000000"/>
        </w:rPr>
        <w:tab/>
      </w:r>
      <w:r>
        <w:rPr>
          <w:rFonts w:ascii="Arial" w:hAnsi="Arial" w:cs="Arial"/>
          <w:color w:val="000000"/>
          <w:sz w:val="24"/>
          <w:szCs w:val="24"/>
        </w:rPr>
        <w:t>Mitchell’</w:t>
      </w:r>
      <w:r>
        <w:rPr>
          <w:rFonts w:ascii="Arial" w:hAnsi="Arial" w:cs="Arial"/>
          <w:color w:val="000000"/>
          <w:sz w:val="24"/>
          <w:szCs w:val="24"/>
        </w:rPr>
        <w:t xml:space="preserve">s Air Operations has hired two economic consultants to provide insights as to the likelihood of the future states of the economy. The second economist estimates that there is a 10% chance that the economy will trend </w:t>
      </w:r>
      <w:r>
        <w:rPr>
          <w:rFonts w:ascii="Arial" w:hAnsi="Arial" w:cs="Arial"/>
          <w:i/>
          <w:iCs/>
          <w:color w:val="000000"/>
          <w:sz w:val="24"/>
          <w:szCs w:val="24"/>
        </w:rPr>
        <w:t>Down</w:t>
      </w:r>
      <w:r>
        <w:rPr>
          <w:rFonts w:ascii="Arial" w:hAnsi="Arial" w:cs="Arial"/>
          <w:color w:val="000000"/>
          <w:sz w:val="24"/>
          <w:szCs w:val="24"/>
        </w:rPr>
        <w:t>, a 30% chance that the economy will</w:t>
      </w:r>
      <w:r>
        <w:rPr>
          <w:rFonts w:ascii="Arial" w:hAnsi="Arial" w:cs="Arial"/>
          <w:color w:val="000000"/>
          <w:sz w:val="24"/>
          <w:szCs w:val="24"/>
        </w:rPr>
        <w:t xml:space="preserve"> stay the </w:t>
      </w:r>
      <w:r>
        <w:rPr>
          <w:rFonts w:ascii="Arial" w:hAnsi="Arial" w:cs="Arial"/>
          <w:i/>
          <w:iCs/>
          <w:color w:val="000000"/>
          <w:sz w:val="24"/>
          <w:szCs w:val="24"/>
        </w:rPr>
        <w:t>Same</w:t>
      </w:r>
      <w:r>
        <w:rPr>
          <w:rFonts w:ascii="Arial" w:hAnsi="Arial" w:cs="Arial"/>
          <w:color w:val="000000"/>
          <w:sz w:val="24"/>
          <w:szCs w:val="24"/>
        </w:rPr>
        <w:t xml:space="preserve">, and a 60% chance that the economy will trend </w:t>
      </w:r>
      <w:r>
        <w:rPr>
          <w:rFonts w:ascii="Arial" w:hAnsi="Arial" w:cs="Arial"/>
          <w:i/>
          <w:iCs/>
          <w:color w:val="000000"/>
          <w:sz w:val="24"/>
          <w:szCs w:val="24"/>
        </w:rPr>
        <w:t>Up</w:t>
      </w:r>
      <w:r>
        <w:rPr>
          <w:rFonts w:ascii="Arial" w:hAnsi="Arial" w:cs="Arial"/>
          <w:color w:val="000000"/>
          <w:sz w:val="24"/>
          <w:szCs w:val="24"/>
        </w:rPr>
        <w:t>. What option should Mitchell’s Air Operations make based on this second economist’s estimates?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Keep As Is</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Remodel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Expansion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Rent</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w:t>
      </w:r>
      <w:r>
        <w:rPr>
          <w:rFonts w:ascii="Arial" w:hAnsi="Arial" w:cs="Arial"/>
          <w:color w:val="000000"/>
          <w:sz w:val="24"/>
          <w:szCs w:val="24"/>
        </w:rPr>
        <w:t>ould be the value of perfect information for the first economist?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23,000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32,000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78,000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would be the value of perfect information for the second economist?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17,000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34,000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77,000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$257,000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Arnold Greenjeans runs a small farm. He is determining what crop to plant for the upcoming year. The choice of what crop to plant will depend on the anticipated </w:t>
      </w:r>
      <w:r>
        <w:rPr>
          <w:rFonts w:ascii="Arial" w:hAnsi="Arial" w:cs="Arial"/>
          <w:color w:val="000000"/>
          <w:sz w:val="24"/>
          <w:szCs w:val="24"/>
        </w:rPr>
        <w:t>weather conditions. Arnold sat down and developed a decision matrix (see below) that shows his anticipated profit for each crop under each weather condition.</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w:t>
      </w:r>
    </w:p>
    <w:tbl>
      <w:tblPr>
        <w:tblW w:w="0" w:type="auto"/>
        <w:jc w:val="center"/>
        <w:tblLook w:val="0000" w:firstRow="0" w:lastRow="0" w:firstColumn="0" w:lastColumn="0" w:noHBand="0" w:noVBand="0"/>
      </w:tblPr>
      <w:tblGrid>
        <w:gridCol w:w="1120"/>
        <w:gridCol w:w="2112"/>
        <w:gridCol w:w="8"/>
        <w:gridCol w:w="1710"/>
        <w:gridCol w:w="1800"/>
      </w:tblGrid>
      <w:tr w:rsidR="00000000">
        <w:tblPrEx>
          <w:tblCellMar>
            <w:top w:w="0" w:type="dxa"/>
            <w:bottom w:w="0" w:type="dxa"/>
          </w:tblCellMar>
        </w:tblPrEx>
        <w:trPr>
          <w:trHeight w:val="255"/>
          <w:jc w:val="center"/>
        </w:trPr>
        <w:tc>
          <w:tcPr>
            <w:tcW w:w="112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c>
        <w:tc>
          <w:tcPr>
            <w:tcW w:w="5630" w:type="dxa"/>
            <w:gridSpan w:val="4"/>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Weather Conditions</w:t>
            </w:r>
          </w:p>
        </w:tc>
      </w:tr>
      <w:tr w:rsidR="00000000">
        <w:tblPrEx>
          <w:tblCellMar>
            <w:top w:w="0" w:type="dxa"/>
            <w:bottom w:w="0" w:type="dxa"/>
          </w:tblCellMar>
        </w:tblPrEx>
        <w:trPr>
          <w:trHeight w:val="255"/>
          <w:jc w:val="center"/>
        </w:trPr>
        <w:tc>
          <w:tcPr>
            <w:tcW w:w="112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p>
        </w:tc>
        <w:tc>
          <w:tcPr>
            <w:tcW w:w="2112"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Drought</w:t>
            </w:r>
          </w:p>
        </w:tc>
        <w:tc>
          <w:tcPr>
            <w:tcW w:w="1718" w:type="dxa"/>
            <w:gridSpan w:val="2"/>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Normal</w:t>
            </w:r>
          </w:p>
        </w:tc>
        <w:tc>
          <w:tcPr>
            <w:tcW w:w="180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Rainy</w:t>
            </w:r>
          </w:p>
        </w:tc>
      </w:tr>
      <w:tr w:rsidR="00000000">
        <w:tblPrEx>
          <w:tblCellMar>
            <w:top w:w="0" w:type="dxa"/>
            <w:bottom w:w="0" w:type="dxa"/>
          </w:tblCellMar>
        </w:tblPrEx>
        <w:trPr>
          <w:trHeight w:val="255"/>
          <w:jc w:val="center"/>
        </w:trPr>
        <w:tc>
          <w:tcPr>
            <w:tcW w:w="112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Soy</w:t>
            </w:r>
          </w:p>
        </w:tc>
        <w:tc>
          <w:tcPr>
            <w:tcW w:w="2120" w:type="dxa"/>
            <w:gridSpan w:val="2"/>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600,000 </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750,000 </w:t>
            </w:r>
          </w:p>
        </w:tc>
        <w:tc>
          <w:tcPr>
            <w:tcW w:w="180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400,000 </w:t>
            </w:r>
          </w:p>
        </w:tc>
      </w:tr>
      <w:tr w:rsidR="00000000">
        <w:tblPrEx>
          <w:tblCellMar>
            <w:top w:w="0" w:type="dxa"/>
            <w:bottom w:w="0" w:type="dxa"/>
          </w:tblCellMar>
        </w:tblPrEx>
        <w:trPr>
          <w:trHeight w:val="255"/>
          <w:jc w:val="center"/>
        </w:trPr>
        <w:tc>
          <w:tcPr>
            <w:tcW w:w="112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Wheat</w:t>
            </w:r>
          </w:p>
        </w:tc>
        <w:tc>
          <w:tcPr>
            <w:tcW w:w="212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400,000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650,000 </w:t>
            </w:r>
          </w:p>
        </w:tc>
        <w:tc>
          <w:tcPr>
            <w:tcW w:w="180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780,000 </w:t>
            </w:r>
          </w:p>
        </w:tc>
      </w:tr>
      <w:tr w:rsidR="00000000">
        <w:tblPrEx>
          <w:tblCellMar>
            <w:top w:w="0" w:type="dxa"/>
            <w:bottom w:w="0" w:type="dxa"/>
          </w:tblCellMar>
        </w:tblPrEx>
        <w:trPr>
          <w:trHeight w:val="255"/>
          <w:jc w:val="center"/>
        </w:trPr>
        <w:tc>
          <w:tcPr>
            <w:tcW w:w="112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Corn</w:t>
            </w:r>
          </w:p>
        </w:tc>
        <w:tc>
          <w:tcPr>
            <w:tcW w:w="212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350,000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500,000 </w:t>
            </w:r>
          </w:p>
        </w:tc>
        <w:tc>
          <w:tcPr>
            <w:tcW w:w="180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700,000 </w:t>
            </w:r>
          </w:p>
        </w:tc>
      </w:tr>
      <w:tr w:rsidR="00000000">
        <w:tblPrEx>
          <w:tblCellMar>
            <w:top w:w="0" w:type="dxa"/>
            <w:bottom w:w="0" w:type="dxa"/>
          </w:tblCellMar>
        </w:tblPrEx>
        <w:trPr>
          <w:trHeight w:val="255"/>
          <w:jc w:val="center"/>
        </w:trPr>
        <w:tc>
          <w:tcPr>
            <w:tcW w:w="112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Rye</w:t>
            </w:r>
          </w:p>
        </w:tc>
        <w:tc>
          <w:tcPr>
            <w:tcW w:w="212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500,000 </w:t>
            </w:r>
          </w:p>
        </w:tc>
        <w:tc>
          <w:tcPr>
            <w:tcW w:w="171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600,000 </w:t>
            </w:r>
          </w:p>
        </w:tc>
        <w:tc>
          <w:tcPr>
            <w:tcW w:w="180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650,000 </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crop should Mr. Greenjeans plant based on the Maximax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crop should Mr. Greenjeans plant based on the Maximin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crop should Mr. Greenjeans plant based on the Laplace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crop should Mr. Greenjeans plant based on the Hurwicz criterion with an alpha = .3?</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What crop should Mr. Greenjeans plant based on the Hurwicz criterion with an alpha = .6?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Mr. Greenjeans consulted with a meteorologist at the local university concerning</w:t>
      </w:r>
      <w:r>
        <w:rPr>
          <w:rFonts w:ascii="Arial" w:hAnsi="Arial" w:cs="Arial"/>
          <w:color w:val="000000"/>
          <w:sz w:val="24"/>
          <w:szCs w:val="24"/>
        </w:rPr>
        <w:t xml:space="preserve"> the likelihood associated with the future weather conditions. She said  there was a 10% chance of drought, an 80% chance of the weather remaining norma,l and a 10% chance of a rainy season. Based on these odds, what should Mr. Greenjeans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Mr. Greenjeans consulted with a copy of the Farmer’s Almanac concerning the likelihood associated with the future weather conditions. It said the there was a 30%</w:t>
      </w:r>
      <w:r>
        <w:rPr>
          <w:rFonts w:ascii="Arial" w:hAnsi="Arial" w:cs="Arial"/>
          <w:color w:val="000000"/>
          <w:sz w:val="24"/>
          <w:szCs w:val="24"/>
        </w:rPr>
        <w:t xml:space="preserve"> chance of drought, a 50% chance of the weather remaining normal, and a 20% chance of a rainy season. Based on these odds, what should Mr. Greenjeans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Soy</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Wheat</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Rye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Given the results for the meteorologist’s forecast, what would be the value of perfect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Given the results for the Farmer’s Almanac’</w:t>
      </w:r>
      <w:r>
        <w:rPr>
          <w:rFonts w:ascii="Arial" w:hAnsi="Arial" w:cs="Arial"/>
          <w:color w:val="000000"/>
          <w:sz w:val="24"/>
          <w:szCs w:val="24"/>
        </w:rPr>
        <w:t>s forecast, what would be the value of perfect information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Capital Construction is looking at the upcoming state election. Control of both </w:t>
      </w:r>
      <w:r>
        <w:rPr>
          <w:rFonts w:ascii="Arial" w:hAnsi="Arial" w:cs="Arial"/>
          <w:color w:val="000000"/>
          <w:sz w:val="24"/>
          <w:szCs w:val="24"/>
        </w:rPr>
        <w:t xml:space="preserve">the state senate and the house are up for grabs in this election. Capital Construction is planning to bid on a number of possible projects. Given the state laws, Capital Construction can only work on one contract at a time. Having reviewed the candidates’ </w:t>
      </w:r>
      <w:r>
        <w:rPr>
          <w:rFonts w:ascii="Arial" w:hAnsi="Arial" w:cs="Arial"/>
          <w:color w:val="000000"/>
          <w:sz w:val="24"/>
          <w:szCs w:val="24"/>
        </w:rPr>
        <w:t>positions, Capital Construction developed a decision matrix that identifies the possible profits for Capital Construction if the Democrats win both the senate and the house, or if the Republicans win both the senate and the house, or if the two parties spl</w:t>
      </w:r>
      <w:r>
        <w:rPr>
          <w:rFonts w:ascii="Arial" w:hAnsi="Arial" w:cs="Arial"/>
          <w:color w:val="000000"/>
          <w:sz w:val="24"/>
          <w:szCs w:val="24"/>
        </w:rPr>
        <w:t>it—one party wins the senate and the other party wins the house. Their matrix is provided below.</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503"/>
        <w:gridCol w:w="6"/>
        <w:gridCol w:w="2001"/>
        <w:gridCol w:w="1913"/>
        <w:gridCol w:w="1980"/>
      </w:tblGrid>
      <w:tr w:rsidR="00000000">
        <w:tblPrEx>
          <w:tblCellMar>
            <w:top w:w="0" w:type="dxa"/>
            <w:bottom w:w="0" w:type="dxa"/>
          </w:tblCellMar>
        </w:tblPrEx>
        <w:trPr>
          <w:trHeight w:val="255"/>
          <w:jc w:val="center"/>
        </w:trPr>
        <w:tc>
          <w:tcPr>
            <w:tcW w:w="1509" w:type="dxa"/>
            <w:gridSpan w:val="2"/>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c>
        <w:tc>
          <w:tcPr>
            <w:tcW w:w="5889" w:type="dxa"/>
            <w:gridSpan w:val="3"/>
            <w:tcBorders>
              <w:top w:val="nil"/>
              <w:left w:val="nil"/>
              <w:bottom w:val="nil"/>
              <w:right w:val="nil"/>
            </w:tcBorders>
            <w:shd w:val="clear" w:color="auto" w:fill="000000"/>
            <w:vAlign w:val="bottom"/>
          </w:tcPr>
          <w:p w:rsidR="00000000" w:rsidRDefault="000E4085">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State Election Outcomes</w:t>
            </w:r>
          </w:p>
        </w:tc>
      </w:tr>
      <w:tr w:rsidR="00000000">
        <w:tblPrEx>
          <w:tblCellMar>
            <w:top w:w="0" w:type="dxa"/>
            <w:bottom w:w="0" w:type="dxa"/>
          </w:tblCellMar>
        </w:tblPrEx>
        <w:trPr>
          <w:trHeight w:val="255"/>
          <w:jc w:val="center"/>
        </w:trPr>
        <w:tc>
          <w:tcPr>
            <w:tcW w:w="1503"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p>
        </w:tc>
        <w:tc>
          <w:tcPr>
            <w:tcW w:w="2007" w:type="dxa"/>
            <w:gridSpan w:val="2"/>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Democrats</w:t>
            </w:r>
          </w:p>
        </w:tc>
        <w:tc>
          <w:tcPr>
            <w:tcW w:w="1913"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Republicans</w:t>
            </w:r>
          </w:p>
        </w:tc>
        <w:tc>
          <w:tcPr>
            <w:tcW w:w="198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Split</w:t>
            </w:r>
          </w:p>
        </w:tc>
      </w:tr>
      <w:tr w:rsidR="00000000">
        <w:tblPrEx>
          <w:tblCellMar>
            <w:top w:w="0" w:type="dxa"/>
            <w:bottom w:w="0" w:type="dxa"/>
          </w:tblCellMar>
        </w:tblPrEx>
        <w:trPr>
          <w:trHeight w:val="255"/>
          <w:jc w:val="center"/>
        </w:trPr>
        <w:tc>
          <w:tcPr>
            <w:tcW w:w="1503"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Project A</w:t>
            </w:r>
          </w:p>
        </w:tc>
        <w:tc>
          <w:tcPr>
            <w:tcW w:w="2007" w:type="dxa"/>
            <w:gridSpan w:val="2"/>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1,000,000 </w:t>
            </w:r>
          </w:p>
        </w:tc>
        <w:tc>
          <w:tcPr>
            <w:tcW w:w="1913"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600,000 </w:t>
            </w:r>
          </w:p>
        </w:tc>
        <w:tc>
          <w:tcPr>
            <w:tcW w:w="198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800,000 </w:t>
            </w:r>
          </w:p>
        </w:tc>
      </w:tr>
      <w:tr w:rsidR="00000000">
        <w:tblPrEx>
          <w:tblCellMar>
            <w:top w:w="0" w:type="dxa"/>
            <w:bottom w:w="0" w:type="dxa"/>
          </w:tblCellMar>
        </w:tblPrEx>
        <w:trPr>
          <w:trHeight w:val="255"/>
          <w:jc w:val="center"/>
        </w:trPr>
        <w:tc>
          <w:tcPr>
            <w:tcW w:w="1503"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Project B</w:t>
            </w:r>
          </w:p>
        </w:tc>
        <w:tc>
          <w:tcPr>
            <w:tcW w:w="2007"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2,500,000 </w:t>
            </w:r>
          </w:p>
        </w:tc>
        <w:tc>
          <w:tcPr>
            <w:tcW w:w="191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$1,800,000 </w:t>
            </w:r>
          </w:p>
        </w:tc>
        <w:tc>
          <w:tcPr>
            <w:tcW w:w="198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$2,000,000 </w:t>
            </w:r>
          </w:p>
        </w:tc>
      </w:tr>
      <w:tr w:rsidR="00000000">
        <w:tblPrEx>
          <w:tblCellMar>
            <w:top w:w="0" w:type="dxa"/>
            <w:bottom w:w="0" w:type="dxa"/>
          </w:tblCellMar>
        </w:tblPrEx>
        <w:trPr>
          <w:trHeight w:val="255"/>
          <w:jc w:val="center"/>
        </w:trPr>
        <w:tc>
          <w:tcPr>
            <w:tcW w:w="1503"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Project C</w:t>
            </w:r>
          </w:p>
        </w:tc>
        <w:tc>
          <w:tcPr>
            <w:tcW w:w="2007"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1,300,000 </w:t>
            </w:r>
          </w:p>
        </w:tc>
        <w:tc>
          <w:tcPr>
            <w:tcW w:w="191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$3,000,000 </w:t>
            </w:r>
          </w:p>
        </w:tc>
        <w:tc>
          <w:tcPr>
            <w:tcW w:w="198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$1,800,000 </w:t>
            </w:r>
          </w:p>
        </w:tc>
      </w:tr>
      <w:tr w:rsidR="00000000">
        <w:tblPrEx>
          <w:tblCellMar>
            <w:top w:w="0" w:type="dxa"/>
            <w:bottom w:w="0" w:type="dxa"/>
          </w:tblCellMar>
        </w:tblPrEx>
        <w:trPr>
          <w:trHeight w:val="255"/>
          <w:jc w:val="center"/>
        </w:trPr>
        <w:tc>
          <w:tcPr>
            <w:tcW w:w="1503"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Project D</w:t>
            </w:r>
          </w:p>
        </w:tc>
        <w:tc>
          <w:tcPr>
            <w:tcW w:w="2007"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1,500,000 </w:t>
            </w:r>
          </w:p>
        </w:tc>
        <w:tc>
          <w:tcPr>
            <w:tcW w:w="191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   </w:t>
            </w:r>
          </w:p>
        </w:tc>
        <w:tc>
          <w:tcPr>
            <w:tcW w:w="198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$2,500,000 </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project should be bid on based on the Maximax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project should be bid on based on the Maximin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project should be bid on based on the Laplace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project should be bid on based on the Hurwicz criterion with an alpha = .3?</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project should be bid on based on the Hurwicz criterion with an alpha =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project should be bid on based on the Minimax Regret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The CEO of Capital Construction consulted a pollster to see what were the odds for the three possible outcomes. The pollster estimated that the odds of the Democ</w:t>
      </w:r>
      <w:r>
        <w:rPr>
          <w:rFonts w:ascii="Arial" w:hAnsi="Arial" w:cs="Arial"/>
          <w:color w:val="000000"/>
          <w:sz w:val="24"/>
          <w:szCs w:val="24"/>
        </w:rPr>
        <w:t>rats winning both the senate and house was 20%, while the odds of the Republicans winning both was 30%, and that there was a 50% chance that there would be a split between the two parties. Based on this information, what project should be bid 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w:t>
            </w:r>
            <w:r>
              <w:rPr>
                <w:rFonts w:ascii="Arial" w:hAnsi="Arial" w:cs="Arial"/>
                <w:color w:val="000000"/>
                <w:sz w:val="24"/>
                <w:szCs w:val="24"/>
              </w:rPr>
              <w:t>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The CEO of Capital Construction was concerned that pollsters haven‘t been useful in recent elections. Almost as a joke, he consulted a psychic to see what were t</w:t>
      </w:r>
      <w:r>
        <w:rPr>
          <w:rFonts w:ascii="Arial" w:hAnsi="Arial" w:cs="Arial"/>
          <w:color w:val="000000"/>
          <w:sz w:val="24"/>
          <w:szCs w:val="24"/>
        </w:rPr>
        <w:t>he odds for the three possible outcomes. The psychic estimated that the odds of the Democrats winning both the senate and house was 25%, while the odds of the Republicans winning both was 45%, and that there was a 30% chance that there would be a split bet</w:t>
      </w:r>
      <w:r>
        <w:rPr>
          <w:rFonts w:ascii="Arial" w:hAnsi="Arial" w:cs="Arial"/>
          <w:color w:val="000000"/>
          <w:sz w:val="24"/>
          <w:szCs w:val="24"/>
        </w:rPr>
        <w:t>ween the two parties. Based on this information, what project should be bid 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A</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B</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C</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 D</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Given the results for the pollster’s forecast what would be the value of perfect</w:t>
      </w:r>
      <w:r>
        <w:rPr>
          <w:rFonts w:ascii="Arial" w:hAnsi="Arial" w:cs="Arial"/>
          <w:color w:val="000000"/>
          <w:sz w:val="24"/>
          <w:szCs w:val="24"/>
        </w:rPr>
        <w:t xml:space="preserve">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$675,000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$715,000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Given the results for the psychic’s forecast what would be the value of perfect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$675,000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$715,000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Lightning Airlines is planning on purchasing 30 new aircraft for their major routes. They plan on purchasing one type of aircraft to simplify operations and maintenance. They are examining four broad categories of aircraft:regional, single ai</w:t>
      </w:r>
      <w:r>
        <w:rPr>
          <w:rFonts w:ascii="Arial" w:hAnsi="Arial" w:cs="Arial"/>
          <w:color w:val="000000"/>
          <w:sz w:val="24"/>
          <w:szCs w:val="24"/>
        </w:rPr>
        <w:t>sle, twin aisle, and jumbo. The selection of what type to consider will be heavily based on the next decade’s air traffic growth rate. Lightning Airlines conducted an economic analysis and determined their possible profits (over the next ten years) for eac</w:t>
      </w:r>
      <w:r>
        <w:rPr>
          <w:rFonts w:ascii="Arial" w:hAnsi="Arial" w:cs="Arial"/>
          <w:color w:val="000000"/>
          <w:sz w:val="24"/>
          <w:szCs w:val="24"/>
        </w:rPr>
        <w:t>h category of aircraft for four possible growth rates. The analysis is provided below.</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Growth Rates on Major Routes</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252" w:type="dxa"/>
        <w:tblLook w:val="0000" w:firstRow="0" w:lastRow="0" w:firstColumn="0" w:lastColumn="0" w:noHBand="0" w:noVBand="0"/>
      </w:tblPr>
      <w:tblGrid>
        <w:gridCol w:w="1530"/>
        <w:gridCol w:w="2070"/>
        <w:gridCol w:w="1801"/>
        <w:gridCol w:w="22"/>
        <w:gridCol w:w="1783"/>
        <w:gridCol w:w="2160"/>
      </w:tblGrid>
      <w:tr w:rsidR="00000000">
        <w:tblPrEx>
          <w:tblCellMar>
            <w:top w:w="0" w:type="dxa"/>
            <w:bottom w:w="0" w:type="dxa"/>
          </w:tblCellMar>
        </w:tblPrEx>
        <w:trPr>
          <w:trHeight w:val="255"/>
        </w:trPr>
        <w:tc>
          <w:tcPr>
            <w:tcW w:w="153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p>
        </w:tc>
        <w:tc>
          <w:tcPr>
            <w:tcW w:w="2065"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-2%</w:t>
            </w:r>
          </w:p>
        </w:tc>
        <w:tc>
          <w:tcPr>
            <w:tcW w:w="1823" w:type="dxa"/>
            <w:gridSpan w:val="2"/>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2%</w:t>
            </w:r>
          </w:p>
        </w:tc>
        <w:tc>
          <w:tcPr>
            <w:tcW w:w="1783"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4%</w:t>
            </w:r>
          </w:p>
        </w:tc>
        <w:tc>
          <w:tcPr>
            <w:tcW w:w="2160"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7%</w:t>
            </w:r>
          </w:p>
        </w:tc>
      </w:tr>
      <w:tr w:rsidR="00000000">
        <w:tblPrEx>
          <w:tblCellMar>
            <w:top w:w="0" w:type="dxa"/>
            <w:bottom w:w="0" w:type="dxa"/>
          </w:tblCellMar>
        </w:tblPrEx>
        <w:trPr>
          <w:trHeight w:val="255"/>
        </w:trPr>
        <w:tc>
          <w:tcPr>
            <w:tcW w:w="153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Regional</w:t>
            </w:r>
          </w:p>
        </w:tc>
        <w:tc>
          <w:tcPr>
            <w:tcW w:w="207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$20,000,000 </w:t>
            </w:r>
          </w:p>
        </w:tc>
        <w:tc>
          <w:tcPr>
            <w:tcW w:w="1801"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$ 35,000,000 </w:t>
            </w:r>
          </w:p>
        </w:tc>
        <w:tc>
          <w:tcPr>
            <w:tcW w:w="1800" w:type="dxa"/>
            <w:gridSpan w:val="2"/>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40,000,000 </w:t>
            </w:r>
          </w:p>
        </w:tc>
        <w:tc>
          <w:tcPr>
            <w:tcW w:w="2160"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(90,000,000)</w:t>
            </w:r>
          </w:p>
        </w:tc>
      </w:tr>
      <w:tr w:rsidR="00000000">
        <w:tblPrEx>
          <w:tblCellMar>
            <w:top w:w="0" w:type="dxa"/>
            <w:bottom w:w="0" w:type="dxa"/>
          </w:tblCellMar>
        </w:tblPrEx>
        <w:trPr>
          <w:trHeight w:val="255"/>
        </w:trPr>
        <w:tc>
          <w:tcPr>
            <w:tcW w:w="153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Single Aisle</w:t>
            </w:r>
          </w:p>
        </w:tc>
        <w:tc>
          <w:tcPr>
            <w:tcW w:w="207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$(50,000,000)</w:t>
            </w:r>
          </w:p>
        </w:tc>
        <w:tc>
          <w:tcPr>
            <w:tcW w:w="1801"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$ 75,000,000 </w:t>
            </w:r>
          </w:p>
        </w:tc>
        <w:tc>
          <w:tcPr>
            <w:tcW w:w="180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$100,000,000 </w:t>
            </w:r>
          </w:p>
        </w:tc>
        <w:tc>
          <w:tcPr>
            <w:tcW w:w="21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$150,000,000 </w:t>
            </w:r>
          </w:p>
        </w:tc>
      </w:tr>
      <w:tr w:rsidR="00000000">
        <w:tblPrEx>
          <w:tblCellMar>
            <w:top w:w="0" w:type="dxa"/>
            <w:bottom w:w="0" w:type="dxa"/>
          </w:tblCellMar>
        </w:tblPrEx>
        <w:trPr>
          <w:trHeight w:val="255"/>
        </w:trPr>
        <w:tc>
          <w:tcPr>
            <w:tcW w:w="153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Twin Aisle</w:t>
            </w:r>
          </w:p>
        </w:tc>
        <w:tc>
          <w:tcPr>
            <w:tcW w:w="207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$(150,000,000)</w:t>
            </w:r>
          </w:p>
        </w:tc>
        <w:tc>
          <w:tcPr>
            <w:tcW w:w="1801"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$ 45,000,000 </w:t>
            </w:r>
          </w:p>
        </w:tc>
        <w:tc>
          <w:tcPr>
            <w:tcW w:w="180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$375,000,000 </w:t>
            </w:r>
          </w:p>
        </w:tc>
        <w:tc>
          <w:tcPr>
            <w:tcW w:w="21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$500,000,000 </w:t>
            </w:r>
          </w:p>
        </w:tc>
      </w:tr>
      <w:tr w:rsidR="00000000">
        <w:tblPrEx>
          <w:tblCellMar>
            <w:top w:w="0" w:type="dxa"/>
            <w:bottom w:w="0" w:type="dxa"/>
          </w:tblCellMar>
        </w:tblPrEx>
        <w:trPr>
          <w:trHeight w:val="255"/>
        </w:trPr>
        <w:tc>
          <w:tcPr>
            <w:tcW w:w="153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Jumbo</w:t>
            </w:r>
          </w:p>
        </w:tc>
        <w:tc>
          <w:tcPr>
            <w:tcW w:w="207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$(200,000,000)</w:t>
            </w:r>
          </w:p>
        </w:tc>
        <w:tc>
          <w:tcPr>
            <w:tcW w:w="1801"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$(50,000,000)</w:t>
            </w:r>
          </w:p>
        </w:tc>
        <w:tc>
          <w:tcPr>
            <w:tcW w:w="1800" w:type="dxa"/>
            <w:gridSpan w:val="2"/>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$200,000,000 </w:t>
            </w:r>
          </w:p>
        </w:tc>
        <w:tc>
          <w:tcPr>
            <w:tcW w:w="2160"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$350,000,000 </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31.</w:t>
      </w:r>
      <w:r>
        <w:rPr>
          <w:rFonts w:ascii="Times New Roman" w:hAnsi="Times New Roman" w:cs="Times New Roman"/>
          <w:color w:val="000000"/>
        </w:rPr>
        <w:tab/>
      </w:r>
      <w:r>
        <w:rPr>
          <w:rFonts w:ascii="Arial" w:hAnsi="Arial" w:cs="Arial"/>
          <w:color w:val="000000"/>
          <w:sz w:val="24"/>
          <w:szCs w:val="24"/>
        </w:rPr>
        <w:t>What type of aircraft would be selected by the Maximax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type of aircraft would be selected by the Maximin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type of aircraft would be selected by the Laplace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type of aircraft would be selected by the Hurwicz criterion with an alpha =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type of aircraft would be selected by the Hurwicz criterion with an alpha = .5?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type of aircraft would be selected by the Hurwicz criterion with an alpha =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 xml:space="preserve">Lightning Airlines used the </w:t>
      </w:r>
      <w:r>
        <w:rPr>
          <w:rFonts w:ascii="Times New Roman" w:hAnsi="Times New Roman" w:cs="Times New Roman"/>
          <w:color w:val="000000"/>
          <w:sz w:val="24"/>
          <w:szCs w:val="24"/>
        </w:rPr>
        <w:t>International</w:t>
      </w:r>
      <w:r>
        <w:rPr>
          <w:rFonts w:ascii="Arial" w:hAnsi="Arial" w:cs="Arial"/>
          <w:color w:val="000000"/>
          <w:sz w:val="24"/>
          <w:szCs w:val="24"/>
        </w:rPr>
        <w:t xml:space="preserve"> Air Transport Association (IATA) forecast for the traffic growth. The IATA estimates that there is a 20% chance that traffic on the major routes would decline by 2%, a 30% chance that traffic would grow by 2%, a 40% chance that traffic would grow by 4%, a</w:t>
      </w:r>
      <w:r>
        <w:rPr>
          <w:rFonts w:ascii="Arial" w:hAnsi="Arial" w:cs="Arial"/>
          <w:color w:val="000000"/>
          <w:sz w:val="24"/>
          <w:szCs w:val="24"/>
        </w:rPr>
        <w:t>nd a 10% chance traffic would grow by 7%. Based on these values, what type of aircraft should Lightning Airlines buy?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Lightning Airlines used the Aviation Week forecast for the traffic growth. The Aviation week estimates that there is a 10% chance that traffic on the major routes would decline by 2%, a 20% chance that traffic would grow by 2%, a 50% chance that traffic wo</w:t>
      </w:r>
      <w:r>
        <w:rPr>
          <w:rFonts w:ascii="Arial" w:hAnsi="Arial" w:cs="Arial"/>
          <w:color w:val="000000"/>
          <w:sz w:val="24"/>
          <w:szCs w:val="24"/>
        </w:rPr>
        <w:t>uld grow by 4%, and a 20% chance traffic would grow by 7%. Based on these values what type of aircraft should Lightning Airlines buy?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Regional</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Twin Aisle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Jumbo</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Given the results for the IATA’</w:t>
      </w:r>
      <w:r>
        <w:rPr>
          <w:rFonts w:ascii="Arial" w:hAnsi="Arial" w:cs="Arial"/>
          <w:color w:val="000000"/>
          <w:sz w:val="24"/>
          <w:szCs w:val="24"/>
        </w:rPr>
        <w:t>s forecast, what would be the value of perfect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$43,000,000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Given the results for the Aviation Week’s forecast, what would be the value of perfect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$32,000,000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$43,000,000</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Anton Ebersoll received a windfall and needs to invest it for tax reasons. He went to his brother-in-law, Edward Dante, who is a financial advisor. Edward prepar</w:t>
      </w:r>
      <w:r>
        <w:rPr>
          <w:rFonts w:ascii="Arial" w:hAnsi="Arial" w:cs="Arial"/>
          <w:color w:val="000000"/>
          <w:sz w:val="24"/>
          <w:szCs w:val="24"/>
        </w:rPr>
        <w:t>ed a matrix that illustrated the possible returns on investment for different investment strategies under different economic conditions. That matrix is given below.</w:t>
      </w:r>
    </w:p>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600"/>
        <w:gridCol w:w="2136"/>
        <w:gridCol w:w="1516"/>
        <w:gridCol w:w="1543"/>
        <w:gridCol w:w="1754"/>
      </w:tblGrid>
      <w:tr w:rsidR="00000000">
        <w:tblPrEx>
          <w:tblCellMar>
            <w:top w:w="0" w:type="dxa"/>
            <w:bottom w:w="0" w:type="dxa"/>
          </w:tblCellMar>
        </w:tblPrEx>
        <w:trPr>
          <w:trHeight w:val="255"/>
          <w:jc w:val="center"/>
        </w:trPr>
        <w:tc>
          <w:tcPr>
            <w:tcW w:w="160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rPr>
                <w:rFonts w:ascii="Arial" w:hAnsi="Arial" w:cs="Arial"/>
                <w:color w:val="000000"/>
                <w:sz w:val="24"/>
                <w:szCs w:val="24"/>
              </w:rPr>
            </w:pPr>
          </w:p>
        </w:tc>
        <w:tc>
          <w:tcPr>
            <w:tcW w:w="6949" w:type="dxa"/>
            <w:gridSpan w:val="4"/>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Market Change</w:t>
            </w:r>
          </w:p>
        </w:tc>
      </w:tr>
      <w:tr w:rsidR="00000000">
        <w:tblPrEx>
          <w:tblCellMar>
            <w:top w:w="0" w:type="dxa"/>
            <w:bottom w:w="0" w:type="dxa"/>
          </w:tblCellMar>
        </w:tblPrEx>
        <w:trPr>
          <w:trHeight w:val="255"/>
          <w:jc w:val="center"/>
        </w:trPr>
        <w:tc>
          <w:tcPr>
            <w:tcW w:w="1600" w:type="dxa"/>
            <w:tcBorders>
              <w:top w:val="nil"/>
              <w:left w:val="nil"/>
              <w:bottom w:val="nil"/>
              <w:right w:val="nil"/>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p>
        </w:tc>
        <w:tc>
          <w:tcPr>
            <w:tcW w:w="2136"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Major Downturn</w:t>
            </w:r>
          </w:p>
        </w:tc>
        <w:tc>
          <w:tcPr>
            <w:tcW w:w="1516"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Downturn</w:t>
            </w:r>
          </w:p>
        </w:tc>
        <w:tc>
          <w:tcPr>
            <w:tcW w:w="1543"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Upturn</w:t>
            </w:r>
          </w:p>
        </w:tc>
        <w:tc>
          <w:tcPr>
            <w:tcW w:w="1754" w:type="dxa"/>
            <w:tcBorders>
              <w:top w:val="nil"/>
              <w:left w:val="nil"/>
              <w:bottom w:val="nil"/>
              <w:right w:val="nil"/>
            </w:tcBorders>
            <w:shd w:val="clear" w:color="000000" w:fill="000000"/>
            <w:vAlign w:val="bottom"/>
          </w:tcPr>
          <w:p w:rsidR="00000000" w:rsidRDefault="000E4085">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Major Upturn</w:t>
            </w:r>
          </w:p>
        </w:tc>
      </w:tr>
      <w:tr w:rsidR="00000000">
        <w:tblPrEx>
          <w:tblCellMar>
            <w:top w:w="0" w:type="dxa"/>
            <w:bottom w:w="0" w:type="dxa"/>
          </w:tblCellMar>
        </w:tblPrEx>
        <w:trPr>
          <w:trHeight w:val="255"/>
          <w:jc w:val="center"/>
        </w:trPr>
        <w:tc>
          <w:tcPr>
            <w:tcW w:w="16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Contrarian</w:t>
            </w:r>
          </w:p>
        </w:tc>
        <w:tc>
          <w:tcPr>
            <w:tcW w:w="2136"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516"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543"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754" w:type="dxa"/>
            <w:tcBorders>
              <w:top w:val="single" w:sz="6" w:space="0" w:color="auto"/>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trHeight w:val="255"/>
          <w:jc w:val="center"/>
        </w:trPr>
        <w:tc>
          <w:tcPr>
            <w:tcW w:w="16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Risk Averse</w:t>
            </w:r>
          </w:p>
        </w:tc>
        <w:tc>
          <w:tcPr>
            <w:tcW w:w="213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51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54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754"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6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Growth</w:t>
            </w:r>
          </w:p>
        </w:tc>
        <w:tc>
          <w:tcPr>
            <w:tcW w:w="213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51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54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754"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600" w:type="dxa"/>
            <w:tcBorders>
              <w:top w:val="nil"/>
              <w:left w:val="nil"/>
              <w:bottom w:val="nil"/>
              <w:right w:val="single" w:sz="6" w:space="0" w:color="auto"/>
            </w:tcBorders>
            <w:vAlign w:val="bottom"/>
          </w:tcPr>
          <w:p w:rsidR="00000000" w:rsidRDefault="000E4085">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Aggressive</w:t>
            </w:r>
          </w:p>
        </w:tc>
        <w:tc>
          <w:tcPr>
            <w:tcW w:w="213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516"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543"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754" w:type="dxa"/>
            <w:tcBorders>
              <w:top w:val="nil"/>
              <w:left w:val="single" w:sz="6" w:space="0" w:color="auto"/>
              <w:bottom w:val="single" w:sz="6" w:space="0" w:color="auto"/>
              <w:right w:val="single" w:sz="6" w:space="0" w:color="auto"/>
            </w:tcBorders>
            <w:vAlign w:val="bottom"/>
          </w:tcPr>
          <w:p w:rsidR="00000000" w:rsidRDefault="000E4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Given these values, what investment strategy should Anton adopt based on using the Maximax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type of investment strategy would be selected by the Maximin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type of investment strategy would be selected by the Laplace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type of investment strategy would be selected by the Hurwicz criterion with</w:t>
      </w:r>
      <w:r>
        <w:rPr>
          <w:rFonts w:ascii="Arial" w:hAnsi="Arial" w:cs="Arial"/>
          <w:color w:val="000000"/>
          <w:sz w:val="24"/>
          <w:szCs w:val="24"/>
        </w:rPr>
        <w:t xml:space="preserve"> an alpha =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type of investment strategy would be selected by the Hurwicz criterion with an alpha = .5?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type of investment strategy would be selected by the Hurwicz criterion with an alpha =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type of investment strategy would be selected by the Minmax Regret criterion?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 xml:space="preserve">Anton Ebersoll reads the financial press and came across an article that stated </w:t>
      </w:r>
      <w:r>
        <w:rPr>
          <w:rFonts w:ascii="Arial" w:hAnsi="Arial" w:cs="Arial"/>
          <w:color w:val="000000"/>
          <w:sz w:val="24"/>
          <w:szCs w:val="24"/>
        </w:rPr>
        <w:t xml:space="preserve">that the probability that there would be a major downturn would be 10%; the probability of a downturn would be 30%; the probability of an upturn would be 40%; and that the probability of a major upturn would be 20%. Based on these numbers, what investment </w:t>
      </w:r>
      <w:r>
        <w:rPr>
          <w:rFonts w:ascii="Arial" w:hAnsi="Arial" w:cs="Arial"/>
          <w:color w:val="000000"/>
          <w:sz w:val="24"/>
          <w:szCs w:val="24"/>
        </w:rPr>
        <w:t>strategy should Anton Ebersoll adopt?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Anton Ebersoll read a report by the Council of Economic Advisors and it stated t</w:t>
      </w:r>
      <w:r>
        <w:rPr>
          <w:rFonts w:ascii="Arial" w:hAnsi="Arial" w:cs="Arial"/>
          <w:color w:val="000000"/>
          <w:sz w:val="24"/>
          <w:szCs w:val="24"/>
        </w:rPr>
        <w:t>hat the probability that there would be a major downturn would be 5%; the probability of a downturn would be 20%; the probability of an upturn would be 60%; and that the probability of a major upturn would be 15%. Based on these numbers, what investment st</w:t>
      </w:r>
      <w:r>
        <w:rPr>
          <w:rFonts w:ascii="Arial" w:hAnsi="Arial" w:cs="Arial"/>
          <w:color w:val="000000"/>
          <w:sz w:val="24"/>
          <w:szCs w:val="24"/>
        </w:rPr>
        <w:t>rategy should Anton Ebersoll adopt?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Contrarian</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Risk Averse</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Aggressive</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E4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Anton Ebersoll read a report by the Council of Economic Advisors and it stated t</w:t>
      </w:r>
      <w:r>
        <w:rPr>
          <w:rFonts w:ascii="Arial" w:hAnsi="Arial" w:cs="Arial"/>
          <w:color w:val="000000"/>
          <w:sz w:val="24"/>
          <w:szCs w:val="24"/>
        </w:rPr>
        <w:t>hat the probability that there would be a major downturn would be 5%; the probability of a downturn would be 20%; the probability of an upturn would be 60%; and that the probability of a major upturn would be 15%. Given the results for the forecast, what w</w:t>
      </w:r>
      <w:r>
        <w:rPr>
          <w:rFonts w:ascii="Arial" w:hAnsi="Arial" w:cs="Arial"/>
          <w:color w:val="000000"/>
          <w:sz w:val="24"/>
          <w:szCs w:val="24"/>
        </w:rPr>
        <w:t>ould be the value of perfect information?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5.75%</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6.80%</w:t>
            </w:r>
          </w:p>
        </w:tc>
      </w:tr>
      <w:tr w:rsidR="00000000">
        <w:tblPrEx>
          <w:tblCellMar>
            <w:top w:w="0" w:type="dxa"/>
            <w:bottom w:w="0" w:type="dxa"/>
          </w:tblCellMar>
        </w:tblPrEx>
        <w:tc>
          <w:tcPr>
            <w:tcW w:w="36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E4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7.35%</w:t>
            </w:r>
          </w:p>
        </w:tc>
      </w:tr>
    </w:tbl>
    <w:p w:rsidR="00000000" w:rsidRDefault="000E4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E4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E4085" w:rsidRDefault="000E4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0E4085">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A85"/>
    <w:rsid w:val="000E4085"/>
    <w:rsid w:val="0049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8B7BE2-246E-40E4-9B3E-3B3409EA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2344</Words>
  <Characters>13367</Characters>
  <Application>Microsoft Office Word</Application>
  <DocSecurity>0</DocSecurity>
  <Lines>111</Lines>
  <Paragraphs>31</Paragraphs>
  <ScaleCrop>false</ScaleCrop>
  <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2017-03-31T15:53:00Z</dcterms:created>
  <dcterms:modified xsi:type="dcterms:W3CDTF">2017-03-31T15:53:00Z</dcterms:modified>
</cp:coreProperties>
</file>